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5000" w:type="pct"/>
        <w:tblLook w:val="04A0" w:firstRow="1" w:lastRow="0" w:firstColumn="1" w:lastColumn="0" w:noHBand="0" w:noVBand="1"/>
      </w:tblPr>
      <w:tblGrid>
        <w:gridCol w:w="2709"/>
        <w:gridCol w:w="3441"/>
        <w:gridCol w:w="2710"/>
        <w:gridCol w:w="2710"/>
        <w:gridCol w:w="2707"/>
      </w:tblGrid>
      <w:tr w:rsidR="00314D85" w:rsidRPr="00314D85" w:rsidTr="00314D85">
        <w:trPr>
          <w:trHeight w:val="310"/>
        </w:trPr>
        <w:tc>
          <w:tcPr>
            <w:tcW w:w="949" w:type="pct"/>
            <w:noWrap/>
            <w:hideMark/>
          </w:tcPr>
          <w:p w:rsidR="00314D85" w:rsidRPr="00314D85" w:rsidRDefault="00314D85" w:rsidP="000D47A8">
            <w:pPr>
              <w:jc w:val="center"/>
            </w:pPr>
          </w:p>
        </w:tc>
        <w:tc>
          <w:tcPr>
            <w:tcW w:w="1205" w:type="pct"/>
            <w:noWrap/>
            <w:hideMark/>
          </w:tcPr>
          <w:p w:rsidR="00314D85" w:rsidRPr="00314D85" w:rsidRDefault="000D47A8" w:rsidP="000D47A8">
            <w:pPr>
              <w:jc w:val="center"/>
              <w:rPr>
                <w:b/>
                <w:bCs/>
              </w:rPr>
            </w:pPr>
            <w:r>
              <w:rPr>
                <w:b/>
                <w:bCs/>
              </w:rPr>
              <w:t xml:space="preserve">May </w:t>
            </w:r>
            <w:r w:rsidR="00314D85" w:rsidRPr="00314D85">
              <w:rPr>
                <w:b/>
                <w:bCs/>
              </w:rPr>
              <w:t>13</w:t>
            </w:r>
          </w:p>
        </w:tc>
        <w:tc>
          <w:tcPr>
            <w:tcW w:w="949" w:type="pct"/>
            <w:noWrap/>
            <w:hideMark/>
          </w:tcPr>
          <w:p w:rsidR="00314D85" w:rsidRPr="00314D85" w:rsidRDefault="000D47A8" w:rsidP="000D47A8">
            <w:pPr>
              <w:jc w:val="center"/>
              <w:rPr>
                <w:b/>
                <w:bCs/>
              </w:rPr>
            </w:pPr>
            <w:r>
              <w:rPr>
                <w:b/>
                <w:bCs/>
              </w:rPr>
              <w:t xml:space="preserve">May </w:t>
            </w:r>
            <w:r w:rsidR="00314D85" w:rsidRPr="00314D85">
              <w:rPr>
                <w:b/>
                <w:bCs/>
              </w:rPr>
              <w:t>14</w:t>
            </w:r>
          </w:p>
        </w:tc>
        <w:tc>
          <w:tcPr>
            <w:tcW w:w="949" w:type="pct"/>
            <w:noWrap/>
            <w:hideMark/>
          </w:tcPr>
          <w:p w:rsidR="00314D85" w:rsidRPr="00314D85" w:rsidRDefault="000D47A8" w:rsidP="000D47A8">
            <w:pPr>
              <w:jc w:val="center"/>
              <w:rPr>
                <w:b/>
                <w:bCs/>
              </w:rPr>
            </w:pPr>
            <w:r>
              <w:rPr>
                <w:b/>
                <w:bCs/>
              </w:rPr>
              <w:t xml:space="preserve">May </w:t>
            </w:r>
            <w:r w:rsidR="00314D85" w:rsidRPr="00314D85">
              <w:rPr>
                <w:b/>
                <w:bCs/>
              </w:rPr>
              <w:t>15</w:t>
            </w:r>
          </w:p>
        </w:tc>
        <w:tc>
          <w:tcPr>
            <w:tcW w:w="948" w:type="pct"/>
            <w:noWrap/>
            <w:hideMark/>
          </w:tcPr>
          <w:p w:rsidR="00314D85" w:rsidRPr="00314D85" w:rsidRDefault="00314D85" w:rsidP="000D47A8">
            <w:pPr>
              <w:jc w:val="center"/>
              <w:rPr>
                <w:b/>
                <w:bCs/>
              </w:rPr>
            </w:pPr>
            <w:r w:rsidRPr="00314D85">
              <w:rPr>
                <w:b/>
                <w:bCs/>
              </w:rPr>
              <w:t>Description</w:t>
            </w:r>
          </w:p>
        </w:tc>
      </w:tr>
      <w:tr w:rsidR="00314D85" w:rsidRPr="009E1AD5" w:rsidTr="00314D85">
        <w:trPr>
          <w:trHeight w:val="930"/>
        </w:trPr>
        <w:tc>
          <w:tcPr>
            <w:tcW w:w="949" w:type="pct"/>
            <w:noWrap/>
            <w:hideMark/>
          </w:tcPr>
          <w:p w:rsidR="00314D85" w:rsidRPr="00314D85" w:rsidRDefault="00314D85" w:rsidP="000D47A8">
            <w:pPr>
              <w:jc w:val="center"/>
            </w:pPr>
            <w:r w:rsidRPr="00314D85">
              <w:t>09:00-10:30</w:t>
            </w:r>
          </w:p>
        </w:tc>
        <w:tc>
          <w:tcPr>
            <w:tcW w:w="1205" w:type="pct"/>
            <w:hideMark/>
          </w:tcPr>
          <w:p w:rsidR="00314D85" w:rsidRPr="00314D85" w:rsidRDefault="00314D85" w:rsidP="002D1D0C">
            <w:pPr>
              <w:jc w:val="center"/>
              <w:rPr>
                <w:lang w:val="en-GB"/>
              </w:rPr>
            </w:pPr>
            <w:r w:rsidRPr="00314D85">
              <w:rPr>
                <w:lang w:val="en-GB"/>
              </w:rPr>
              <w:t>introduction to mitochondrial genetic methodologies</w:t>
            </w:r>
          </w:p>
        </w:tc>
        <w:tc>
          <w:tcPr>
            <w:tcW w:w="949" w:type="pct"/>
            <w:vMerge w:val="restart"/>
            <w:hideMark/>
          </w:tcPr>
          <w:p w:rsidR="00314D85" w:rsidRPr="00314D85" w:rsidRDefault="00314D85" w:rsidP="002D1D0C">
            <w:pPr>
              <w:jc w:val="center"/>
              <w:rPr>
                <w:lang w:val="en-GB"/>
              </w:rPr>
            </w:pPr>
            <w:r w:rsidRPr="00314D85">
              <w:rPr>
                <w:lang w:val="en-GB"/>
              </w:rPr>
              <w:t>bench time - nucelic acid extraction / mtDNA PCR / Fluorescent PCR/mtDNA sequencing</w:t>
            </w:r>
          </w:p>
        </w:tc>
        <w:tc>
          <w:tcPr>
            <w:tcW w:w="949" w:type="pct"/>
            <w:vMerge w:val="restart"/>
            <w:hideMark/>
          </w:tcPr>
          <w:p w:rsidR="00314D85" w:rsidRPr="00314D85" w:rsidRDefault="00314D85" w:rsidP="002D1D0C">
            <w:pPr>
              <w:jc w:val="center"/>
              <w:rPr>
                <w:lang w:val="en-GB"/>
              </w:rPr>
            </w:pPr>
            <w:r w:rsidRPr="00314D85">
              <w:rPr>
                <w:lang w:val="en-GB"/>
              </w:rPr>
              <w:t>data analysis (mtDNA mutation analysis including heteroplasmy evaluation)</w:t>
            </w:r>
          </w:p>
        </w:tc>
        <w:tc>
          <w:tcPr>
            <w:tcW w:w="948" w:type="pct"/>
            <w:vMerge w:val="restart"/>
            <w:hideMark/>
          </w:tcPr>
          <w:p w:rsidR="00314D85" w:rsidRPr="00314D85" w:rsidRDefault="00314D85" w:rsidP="002D1D0C">
            <w:pPr>
              <w:jc w:val="center"/>
              <w:rPr>
                <w:lang w:val="en-GB"/>
              </w:rPr>
            </w:pPr>
            <w:r w:rsidRPr="00314D85">
              <w:rPr>
                <w:lang w:val="en-GB"/>
              </w:rPr>
              <w:t>The students will be acquainted with the molecular techniques for analysis of mtDNA variants. Upon completing the workshop, the attendees should be capable of mtDNA identification, quantification (heteroplasmy evaluation) and functional annotation of identified variants</w:t>
            </w:r>
            <w:bookmarkStart w:id="0" w:name="_GoBack"/>
            <w:bookmarkEnd w:id="0"/>
            <w:r w:rsidRPr="00314D85">
              <w:rPr>
                <w:lang w:val="en-GB"/>
              </w:rPr>
              <w:t>.</w:t>
            </w:r>
          </w:p>
        </w:tc>
      </w:tr>
      <w:tr w:rsidR="00314D85" w:rsidRPr="00314D85" w:rsidTr="00314D85">
        <w:trPr>
          <w:trHeight w:val="2865"/>
        </w:trPr>
        <w:tc>
          <w:tcPr>
            <w:tcW w:w="949" w:type="pct"/>
            <w:noWrap/>
            <w:hideMark/>
          </w:tcPr>
          <w:p w:rsidR="00314D85" w:rsidRPr="00314D85" w:rsidRDefault="00314D85" w:rsidP="000D47A8">
            <w:pPr>
              <w:jc w:val="center"/>
            </w:pPr>
            <w:r w:rsidRPr="00314D85">
              <w:t>10:45-12:45</w:t>
            </w:r>
          </w:p>
        </w:tc>
        <w:tc>
          <w:tcPr>
            <w:tcW w:w="1205" w:type="pct"/>
            <w:hideMark/>
          </w:tcPr>
          <w:p w:rsidR="00314D85" w:rsidRPr="00314D85" w:rsidRDefault="00314D85" w:rsidP="002D1D0C">
            <w:pPr>
              <w:jc w:val="center"/>
            </w:pPr>
            <w:r w:rsidRPr="00314D85">
              <w:t>in silico assay design for mtDNA mutation identification/quantification</w:t>
            </w:r>
          </w:p>
        </w:tc>
        <w:tc>
          <w:tcPr>
            <w:tcW w:w="949" w:type="pct"/>
            <w:vMerge/>
            <w:hideMark/>
          </w:tcPr>
          <w:p w:rsidR="00314D85" w:rsidRPr="00314D85" w:rsidRDefault="00314D85" w:rsidP="002D1D0C">
            <w:pPr>
              <w:jc w:val="center"/>
            </w:pPr>
          </w:p>
        </w:tc>
        <w:tc>
          <w:tcPr>
            <w:tcW w:w="949" w:type="pct"/>
            <w:vMerge/>
            <w:hideMark/>
          </w:tcPr>
          <w:p w:rsidR="00314D85" w:rsidRPr="00314D85" w:rsidRDefault="00314D85" w:rsidP="002D1D0C">
            <w:pPr>
              <w:jc w:val="center"/>
            </w:pPr>
          </w:p>
        </w:tc>
        <w:tc>
          <w:tcPr>
            <w:tcW w:w="948" w:type="pct"/>
            <w:vMerge/>
            <w:hideMark/>
          </w:tcPr>
          <w:p w:rsidR="00314D85" w:rsidRPr="00314D85" w:rsidRDefault="00314D85" w:rsidP="002D1D0C">
            <w:pPr>
              <w:jc w:val="center"/>
            </w:pPr>
          </w:p>
        </w:tc>
      </w:tr>
      <w:tr w:rsidR="00314D85" w:rsidRPr="00314D85" w:rsidTr="00314D85">
        <w:trPr>
          <w:trHeight w:val="310"/>
        </w:trPr>
        <w:tc>
          <w:tcPr>
            <w:tcW w:w="949" w:type="pct"/>
            <w:noWrap/>
            <w:hideMark/>
          </w:tcPr>
          <w:p w:rsidR="00314D85" w:rsidRPr="00314D85" w:rsidRDefault="00314D85" w:rsidP="000D47A8">
            <w:pPr>
              <w:jc w:val="center"/>
            </w:pPr>
            <w:r w:rsidRPr="00314D85">
              <w:t>13:00-14:00</w:t>
            </w:r>
          </w:p>
        </w:tc>
        <w:tc>
          <w:tcPr>
            <w:tcW w:w="1205" w:type="pct"/>
            <w:hideMark/>
          </w:tcPr>
          <w:p w:rsidR="00314D85" w:rsidRPr="00314D85" w:rsidRDefault="00314D85" w:rsidP="002D1D0C">
            <w:pPr>
              <w:jc w:val="center"/>
            </w:pPr>
            <w:r w:rsidRPr="00314D85">
              <w:t>free LUNCH</w:t>
            </w:r>
          </w:p>
        </w:tc>
        <w:tc>
          <w:tcPr>
            <w:tcW w:w="949" w:type="pct"/>
            <w:hideMark/>
          </w:tcPr>
          <w:p w:rsidR="00314D85" w:rsidRPr="00314D85" w:rsidRDefault="00314D85" w:rsidP="002D1D0C">
            <w:pPr>
              <w:jc w:val="center"/>
            </w:pPr>
            <w:r w:rsidRPr="00314D85">
              <w:t>free LUNCH</w:t>
            </w:r>
          </w:p>
        </w:tc>
        <w:tc>
          <w:tcPr>
            <w:tcW w:w="949" w:type="pct"/>
            <w:hideMark/>
          </w:tcPr>
          <w:p w:rsidR="00314D85" w:rsidRPr="00314D85" w:rsidRDefault="00314D85" w:rsidP="002D1D0C">
            <w:pPr>
              <w:jc w:val="center"/>
            </w:pPr>
            <w:r w:rsidRPr="00314D85">
              <w:t>free LUNCH</w:t>
            </w:r>
          </w:p>
        </w:tc>
        <w:tc>
          <w:tcPr>
            <w:tcW w:w="948" w:type="pct"/>
            <w:noWrap/>
            <w:hideMark/>
          </w:tcPr>
          <w:p w:rsidR="00314D85" w:rsidRPr="00314D85" w:rsidRDefault="00314D85" w:rsidP="002D1D0C">
            <w:pPr>
              <w:jc w:val="center"/>
            </w:pPr>
          </w:p>
        </w:tc>
      </w:tr>
      <w:tr w:rsidR="00314D85" w:rsidRPr="009E1AD5" w:rsidTr="00314D85">
        <w:trPr>
          <w:trHeight w:val="4340"/>
        </w:trPr>
        <w:tc>
          <w:tcPr>
            <w:tcW w:w="949" w:type="pct"/>
            <w:noWrap/>
            <w:hideMark/>
          </w:tcPr>
          <w:p w:rsidR="00314D85" w:rsidRPr="00314D85" w:rsidRDefault="00314D85" w:rsidP="000D47A8">
            <w:pPr>
              <w:jc w:val="center"/>
            </w:pPr>
            <w:r w:rsidRPr="00314D85">
              <w:t>14:00-18:00</w:t>
            </w:r>
          </w:p>
        </w:tc>
        <w:tc>
          <w:tcPr>
            <w:tcW w:w="1205" w:type="pct"/>
            <w:hideMark/>
          </w:tcPr>
          <w:p w:rsidR="00314D85" w:rsidRPr="00314D85" w:rsidRDefault="00314D85" w:rsidP="002D1D0C">
            <w:pPr>
              <w:jc w:val="center"/>
              <w:rPr>
                <w:lang w:val="en-GB"/>
              </w:rPr>
            </w:pPr>
            <w:r w:rsidRPr="00314D85">
              <w:rPr>
                <w:lang w:val="en-GB"/>
              </w:rPr>
              <w:t>Determination of ATP synthesis rate in mtDNA wild type and mutant cells (chemiluminescent assay)</w:t>
            </w:r>
          </w:p>
        </w:tc>
        <w:tc>
          <w:tcPr>
            <w:tcW w:w="949" w:type="pct"/>
            <w:hideMark/>
          </w:tcPr>
          <w:p w:rsidR="00314D85" w:rsidRPr="00314D85" w:rsidRDefault="00314D85" w:rsidP="002D1D0C">
            <w:pPr>
              <w:jc w:val="center"/>
              <w:rPr>
                <w:lang w:val="en-GB"/>
              </w:rPr>
            </w:pPr>
            <w:r w:rsidRPr="00314D85">
              <w:rPr>
                <w:lang w:val="en-GB"/>
              </w:rPr>
              <w:t>Determination of mitochondrial membrane potential in mtDNA wild type and mutant cells (live imaging technique)</w:t>
            </w:r>
          </w:p>
        </w:tc>
        <w:tc>
          <w:tcPr>
            <w:tcW w:w="949" w:type="pct"/>
            <w:hideMark/>
          </w:tcPr>
          <w:p w:rsidR="00314D85" w:rsidRPr="00314D85" w:rsidRDefault="00314D85" w:rsidP="002D1D0C">
            <w:pPr>
              <w:jc w:val="center"/>
              <w:rPr>
                <w:lang w:val="en-GB"/>
              </w:rPr>
            </w:pPr>
            <w:r w:rsidRPr="00314D85">
              <w:rPr>
                <w:lang w:val="en-GB"/>
              </w:rPr>
              <w:t>Data analysis (ATP synthesis rate, mitochondrial membrane potential)</w:t>
            </w:r>
          </w:p>
        </w:tc>
        <w:tc>
          <w:tcPr>
            <w:tcW w:w="948" w:type="pct"/>
            <w:hideMark/>
          </w:tcPr>
          <w:p w:rsidR="00314D85" w:rsidRPr="00314D85" w:rsidRDefault="00314D85" w:rsidP="002D1D0C">
            <w:pPr>
              <w:jc w:val="center"/>
              <w:rPr>
                <w:lang w:val="en-GB"/>
              </w:rPr>
            </w:pPr>
            <w:r w:rsidRPr="00314D85">
              <w:rPr>
                <w:lang w:val="en-GB"/>
              </w:rPr>
              <w:t>The students will learn the biochemical techniques to determine the functional effects of mtDNA variants. Upon completing the workshop, the attendees will be able to measure ATP production from different respiratory complexes and to evaluate the contribution of respiratory complexes in the maintenace of mitochondrial membrane potential.</w:t>
            </w:r>
          </w:p>
        </w:tc>
      </w:tr>
    </w:tbl>
    <w:p w:rsidR="00200F2A" w:rsidRPr="008A2B85" w:rsidRDefault="00200F2A" w:rsidP="00200F2A">
      <w:pPr>
        <w:rPr>
          <w:rFonts w:ascii="Times New Roman" w:hAnsi="Times New Roman" w:cs="Times New Roman"/>
          <w:lang w:val="en-US"/>
        </w:rPr>
      </w:pPr>
    </w:p>
    <w:p w:rsidR="00200F2A" w:rsidRPr="008A2B85" w:rsidRDefault="00200F2A" w:rsidP="00200F2A">
      <w:pPr>
        <w:rPr>
          <w:rFonts w:ascii="Times New Roman" w:hAnsi="Times New Roman" w:cs="Times New Roman"/>
          <w:lang w:val="en-US"/>
        </w:rPr>
      </w:pPr>
    </w:p>
    <w:p w:rsidR="00200F2A" w:rsidRPr="008A2B85" w:rsidRDefault="00200F2A" w:rsidP="00200F2A">
      <w:pPr>
        <w:rPr>
          <w:rFonts w:ascii="Times New Roman" w:hAnsi="Times New Roman" w:cs="Times New Roman"/>
          <w:lang w:val="en-US"/>
        </w:rPr>
      </w:pPr>
    </w:p>
    <w:p w:rsidR="00200F2A" w:rsidRPr="008A2B85" w:rsidRDefault="00200F2A" w:rsidP="00200F2A">
      <w:pPr>
        <w:rPr>
          <w:rFonts w:ascii="Times New Roman" w:hAnsi="Times New Roman" w:cs="Times New Roman"/>
          <w:lang w:val="en-US"/>
        </w:rPr>
      </w:pPr>
    </w:p>
    <w:p w:rsidR="00200F2A" w:rsidRPr="008A2B85" w:rsidRDefault="00200F2A" w:rsidP="00200F2A">
      <w:pPr>
        <w:rPr>
          <w:rFonts w:ascii="Times New Roman" w:hAnsi="Times New Roman" w:cs="Times New Roman"/>
          <w:lang w:val="en-US"/>
        </w:rPr>
      </w:pPr>
    </w:p>
    <w:p w:rsidR="00200F2A" w:rsidRPr="008A2B85" w:rsidRDefault="00200F2A" w:rsidP="00200F2A">
      <w:pPr>
        <w:rPr>
          <w:rFonts w:ascii="Times New Roman" w:hAnsi="Times New Roman" w:cs="Times New Roman"/>
          <w:lang w:val="en-US"/>
        </w:rPr>
      </w:pPr>
    </w:p>
    <w:p w:rsidR="001E3A39" w:rsidRPr="008A2B85" w:rsidRDefault="001E3A39" w:rsidP="00FF6C96">
      <w:pPr>
        <w:pStyle w:val="Titolo1"/>
        <w:rPr>
          <w:rFonts w:ascii="Times New Roman" w:hAnsi="Times New Roman" w:cs="Times New Roman"/>
          <w:b/>
          <w:color w:val="auto"/>
          <w:sz w:val="28"/>
          <w:szCs w:val="28"/>
          <w:lang w:val="en-US"/>
        </w:rPr>
      </w:pPr>
    </w:p>
    <w:sectPr w:rsidR="001E3A39" w:rsidRPr="008A2B85" w:rsidSect="00314D8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E6" w:rsidRDefault="00D254E6" w:rsidP="00924FBE">
      <w:r>
        <w:separator/>
      </w:r>
    </w:p>
  </w:endnote>
  <w:endnote w:type="continuationSeparator" w:id="0">
    <w:p w:rsidR="00D254E6" w:rsidRDefault="00D254E6" w:rsidP="0092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85" w:rsidRDefault="00314D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716" w:rsidRDefault="009B3716" w:rsidP="000D47A8">
    <w:pPr>
      <w:pStyle w:val="Pidipagina"/>
    </w:pPr>
  </w:p>
  <w:p w:rsidR="009B3716" w:rsidRDefault="009B371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85" w:rsidRDefault="00314D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E6" w:rsidRDefault="00D254E6" w:rsidP="00924FBE">
      <w:r>
        <w:separator/>
      </w:r>
    </w:p>
  </w:footnote>
  <w:footnote w:type="continuationSeparator" w:id="0">
    <w:p w:rsidR="00D254E6" w:rsidRDefault="00D254E6" w:rsidP="00924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85" w:rsidRDefault="00314D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E5" w:rsidRDefault="00BE01E5">
    <w:pPr>
      <w:pStyle w:val="Intestazione"/>
    </w:pPr>
    <w:r>
      <w:rPr>
        <w:noProof/>
      </w:rPr>
      <w:drawing>
        <wp:anchor distT="0" distB="0" distL="114300" distR="114300" simplePos="0" relativeHeight="251661312" behindDoc="1" locked="0" layoutInCell="1" allowOverlap="1" wp14:anchorId="1B92F6DF" wp14:editId="70159A15">
          <wp:simplePos x="0" y="0"/>
          <wp:positionH relativeFrom="margin">
            <wp:posOffset>7254643</wp:posOffset>
          </wp:positionH>
          <wp:positionV relativeFrom="page">
            <wp:posOffset>226714</wp:posOffset>
          </wp:positionV>
          <wp:extent cx="1638300" cy="64770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647700"/>
                  </a:xfrm>
                  <a:prstGeom prst="rect">
                    <a:avLst/>
                  </a:prstGeom>
                  <a:noFill/>
                </pic:spPr>
              </pic:pic>
            </a:graphicData>
          </a:graphic>
          <wp14:sizeRelH relativeFrom="page">
            <wp14:pctWidth>0</wp14:pctWidth>
          </wp14:sizeRelH>
          <wp14:sizeRelV relativeFrom="page">
            <wp14:pctHeight>0</wp14:pctHeight>
          </wp14:sizeRelV>
        </wp:anchor>
      </w:drawing>
    </w:r>
  </w:p>
  <w:p w:rsidR="00BE01E5" w:rsidRDefault="00314D85" w:rsidP="00314D85">
    <w:pPr>
      <w:pStyle w:val="Intestazione"/>
      <w:tabs>
        <w:tab w:val="clear" w:pos="4819"/>
        <w:tab w:val="clear" w:pos="9638"/>
        <w:tab w:val="left" w:pos="12048"/>
      </w:tabs>
    </w:pPr>
    <w:r>
      <w:tab/>
    </w:r>
  </w:p>
  <w:p w:rsidR="00924FBE" w:rsidRDefault="00924FBE">
    <w:pPr>
      <w:pStyle w:val="Intestazione"/>
    </w:pPr>
    <w:r>
      <w:rPr>
        <w:noProof/>
      </w:rPr>
      <w:drawing>
        <wp:anchor distT="0" distB="0" distL="114300" distR="114300" simplePos="0" relativeHeight="251659264" behindDoc="1" locked="0" layoutInCell="1" allowOverlap="1" wp14:anchorId="1919B3BF" wp14:editId="0A116F25">
          <wp:simplePos x="0" y="0"/>
          <wp:positionH relativeFrom="margin">
            <wp:align>left</wp:align>
          </wp:positionH>
          <wp:positionV relativeFrom="page">
            <wp:posOffset>220345</wp:posOffset>
          </wp:positionV>
          <wp:extent cx="1201420" cy="541655"/>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1420" cy="541655"/>
                  </a:xfrm>
                  <a:prstGeom prst="rect">
                    <a:avLst/>
                  </a:prstGeom>
                  <a:noFill/>
                </pic:spPr>
              </pic:pic>
            </a:graphicData>
          </a:graphic>
          <wp14:sizeRelH relativeFrom="page">
            <wp14:pctWidth>0</wp14:pctWidth>
          </wp14:sizeRelH>
          <wp14:sizeRelV relativeFrom="page">
            <wp14:pctHeight>0</wp14:pctHeight>
          </wp14:sizeRelV>
        </wp:anchor>
      </w:drawing>
    </w:r>
  </w:p>
  <w:p w:rsidR="00924FBE" w:rsidRDefault="00924FBE">
    <w:pPr>
      <w:pStyle w:val="Intestazione"/>
    </w:pPr>
    <w:r>
      <w:t xml:space="preserve">                                                                                                                                                                                     </w:t>
    </w:r>
    <w:bookmarkStart w:id="1" w:name="page1"/>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D85" w:rsidRDefault="00314D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7FA255D"/>
    <w:multiLevelType w:val="hybridMultilevel"/>
    <w:tmpl w:val="91A27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F270FB"/>
    <w:multiLevelType w:val="hybridMultilevel"/>
    <w:tmpl w:val="0CBAB5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4908E1"/>
    <w:multiLevelType w:val="hybridMultilevel"/>
    <w:tmpl w:val="3BFE0EF2"/>
    <w:lvl w:ilvl="0" w:tplc="D1D69BCC">
      <w:start w:val="1"/>
      <w:numFmt w:val="decimal"/>
      <w:suff w:val="space"/>
      <w:lvlText w:val="%1."/>
      <w:lvlJc w:val="left"/>
      <w:pPr>
        <w:ind w:left="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FE691B"/>
    <w:multiLevelType w:val="hybridMultilevel"/>
    <w:tmpl w:val="DE503FC6"/>
    <w:lvl w:ilvl="0" w:tplc="22B6E6E0">
      <w:start w:val="1"/>
      <w:numFmt w:val="decimal"/>
      <w:lvlText w:val="%1."/>
      <w:lvlJc w:val="left"/>
      <w:pPr>
        <w:ind w:left="720" w:hanging="360"/>
      </w:pPr>
      <w:rPr>
        <w:rFonts w:ascii="Arial" w:eastAsia="Arial" w:hAnsi="Arial" w:hint="default"/>
        <w:b/>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44E57"/>
    <w:multiLevelType w:val="hybridMultilevel"/>
    <w:tmpl w:val="357E78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A5272EB"/>
    <w:multiLevelType w:val="hybridMultilevel"/>
    <w:tmpl w:val="70EEB3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8F"/>
    <w:rsid w:val="00077B36"/>
    <w:rsid w:val="000D47A8"/>
    <w:rsid w:val="001E32DB"/>
    <w:rsid w:val="001E3A39"/>
    <w:rsid w:val="00200F2A"/>
    <w:rsid w:val="002205DF"/>
    <w:rsid w:val="002875FC"/>
    <w:rsid w:val="002D1D0C"/>
    <w:rsid w:val="00314D85"/>
    <w:rsid w:val="00365AEC"/>
    <w:rsid w:val="0038598F"/>
    <w:rsid w:val="003C0E5E"/>
    <w:rsid w:val="003F3C48"/>
    <w:rsid w:val="00410190"/>
    <w:rsid w:val="00482156"/>
    <w:rsid w:val="005E1D31"/>
    <w:rsid w:val="006A26C5"/>
    <w:rsid w:val="006B01C6"/>
    <w:rsid w:val="008A2B85"/>
    <w:rsid w:val="00924FBE"/>
    <w:rsid w:val="009A2596"/>
    <w:rsid w:val="009B3716"/>
    <w:rsid w:val="009E1AD5"/>
    <w:rsid w:val="00A15D78"/>
    <w:rsid w:val="00A97EFE"/>
    <w:rsid w:val="00AE1F70"/>
    <w:rsid w:val="00BA09E2"/>
    <w:rsid w:val="00BE01E5"/>
    <w:rsid w:val="00D254E6"/>
    <w:rsid w:val="00D525E3"/>
    <w:rsid w:val="00E145F6"/>
    <w:rsid w:val="00EF3736"/>
    <w:rsid w:val="00FE692A"/>
    <w:rsid w:val="00FF6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0D45DB-84A7-42E9-9F2B-1CFBB76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A09E2"/>
    <w:pPr>
      <w:spacing w:after="0" w:line="240" w:lineRule="auto"/>
    </w:pPr>
    <w:rPr>
      <w:rFonts w:ascii="Calibri" w:eastAsia="Calibri" w:hAnsi="Calibri" w:cs="Arial"/>
      <w:sz w:val="20"/>
      <w:szCs w:val="20"/>
      <w:lang w:eastAsia="it-IT"/>
    </w:rPr>
  </w:style>
  <w:style w:type="paragraph" w:styleId="Titolo1">
    <w:name w:val="heading 1"/>
    <w:basedOn w:val="Normale"/>
    <w:next w:val="Normale"/>
    <w:link w:val="Titolo1Carattere"/>
    <w:uiPriority w:val="9"/>
    <w:qFormat/>
    <w:rsid w:val="001E3A3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97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24FBE"/>
    <w:pPr>
      <w:tabs>
        <w:tab w:val="center" w:pos="4819"/>
        <w:tab w:val="right" w:pos="9638"/>
      </w:tabs>
    </w:pPr>
  </w:style>
  <w:style w:type="character" w:customStyle="1" w:styleId="IntestazioneCarattere">
    <w:name w:val="Intestazione Carattere"/>
    <w:basedOn w:val="Carpredefinitoparagrafo"/>
    <w:link w:val="Intestazione"/>
    <w:uiPriority w:val="99"/>
    <w:rsid w:val="00924FBE"/>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924FBE"/>
    <w:pPr>
      <w:tabs>
        <w:tab w:val="center" w:pos="4819"/>
        <w:tab w:val="right" w:pos="9638"/>
      </w:tabs>
    </w:pPr>
  </w:style>
  <w:style w:type="character" w:customStyle="1" w:styleId="PidipaginaCarattere">
    <w:name w:val="Piè di pagina Carattere"/>
    <w:basedOn w:val="Carpredefinitoparagrafo"/>
    <w:link w:val="Pidipagina"/>
    <w:uiPriority w:val="99"/>
    <w:rsid w:val="00924FBE"/>
    <w:rPr>
      <w:rFonts w:ascii="Calibri" w:eastAsia="Calibri" w:hAnsi="Calibri" w:cs="Arial"/>
      <w:sz w:val="20"/>
      <w:szCs w:val="20"/>
      <w:lang w:eastAsia="it-IT"/>
    </w:rPr>
  </w:style>
  <w:style w:type="paragraph" w:styleId="Paragrafoelenco">
    <w:name w:val="List Paragraph"/>
    <w:basedOn w:val="Normale"/>
    <w:uiPriority w:val="34"/>
    <w:qFormat/>
    <w:rsid w:val="001E3A39"/>
    <w:pPr>
      <w:ind w:left="720"/>
      <w:contextualSpacing/>
    </w:pPr>
  </w:style>
  <w:style w:type="character" w:customStyle="1" w:styleId="Titolo1Carattere">
    <w:name w:val="Titolo 1 Carattere"/>
    <w:basedOn w:val="Carpredefinitoparagrafo"/>
    <w:link w:val="Titolo1"/>
    <w:uiPriority w:val="9"/>
    <w:rsid w:val="001E3A39"/>
    <w:rPr>
      <w:rFonts w:asciiTheme="majorHAnsi" w:eastAsiaTheme="majorEastAsia" w:hAnsiTheme="majorHAnsi" w:cstheme="majorBidi"/>
      <w:color w:val="2E74B5" w:themeColor="accent1" w:themeShade="BF"/>
      <w:sz w:val="32"/>
      <w:szCs w:val="32"/>
      <w:lang w:eastAsia="it-IT"/>
    </w:rPr>
  </w:style>
  <w:style w:type="paragraph" w:styleId="Titolo">
    <w:name w:val="Title"/>
    <w:basedOn w:val="Normale"/>
    <w:next w:val="Normale"/>
    <w:link w:val="TitoloCarattere"/>
    <w:uiPriority w:val="10"/>
    <w:qFormat/>
    <w:rsid w:val="001E3A3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E3A39"/>
    <w:rPr>
      <w:rFonts w:asciiTheme="majorHAnsi" w:eastAsiaTheme="majorEastAsia" w:hAnsiTheme="majorHAnsi" w:cstheme="majorBidi"/>
      <w:spacing w:val="-10"/>
      <w:kern w:val="28"/>
      <w:sz w:val="56"/>
      <w:szCs w:val="56"/>
      <w:lang w:eastAsia="it-IT"/>
    </w:rPr>
  </w:style>
  <w:style w:type="paragraph" w:styleId="Titolosommario">
    <w:name w:val="TOC Heading"/>
    <w:basedOn w:val="Titolo1"/>
    <w:next w:val="Normale"/>
    <w:uiPriority w:val="39"/>
    <w:unhideWhenUsed/>
    <w:qFormat/>
    <w:rsid w:val="00200F2A"/>
    <w:pPr>
      <w:spacing w:line="259" w:lineRule="auto"/>
      <w:outlineLvl w:val="9"/>
    </w:pPr>
  </w:style>
  <w:style w:type="paragraph" w:styleId="Sommario1">
    <w:name w:val="toc 1"/>
    <w:basedOn w:val="Normale"/>
    <w:next w:val="Normale"/>
    <w:autoRedefine/>
    <w:uiPriority w:val="39"/>
    <w:unhideWhenUsed/>
    <w:rsid w:val="009B3716"/>
    <w:pPr>
      <w:spacing w:after="100"/>
    </w:pPr>
  </w:style>
  <w:style w:type="character" w:styleId="Collegamentoipertestuale">
    <w:name w:val="Hyperlink"/>
    <w:basedOn w:val="Carpredefinitoparagrafo"/>
    <w:uiPriority w:val="99"/>
    <w:unhideWhenUsed/>
    <w:rsid w:val="009B3716"/>
    <w:rPr>
      <w:color w:val="0563C1" w:themeColor="hyperlink"/>
      <w:u w:val="single"/>
    </w:rPr>
  </w:style>
  <w:style w:type="paragraph" w:styleId="Testofumetto">
    <w:name w:val="Balloon Text"/>
    <w:basedOn w:val="Normale"/>
    <w:link w:val="TestofumettoCarattere"/>
    <w:uiPriority w:val="99"/>
    <w:semiHidden/>
    <w:unhideWhenUsed/>
    <w:rsid w:val="00FF6C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6C96"/>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8C6A-0295-499A-B720-088035B1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De Bonis</dc:creator>
  <cp:lastModifiedBy>Giuseppe De Bonis</cp:lastModifiedBy>
  <cp:revision>16</cp:revision>
  <dcterms:created xsi:type="dcterms:W3CDTF">2018-12-10T14:36:00Z</dcterms:created>
  <dcterms:modified xsi:type="dcterms:W3CDTF">2019-04-03T13:10:00Z</dcterms:modified>
</cp:coreProperties>
</file>